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2" w:rsidRPr="007501EB" w:rsidRDefault="00DC16F2" w:rsidP="007501EB">
      <w:pPr>
        <w:adjustRightInd/>
        <w:spacing w:before="576"/>
        <w:ind w:left="72" w:right="792"/>
        <w:rPr>
          <w:rFonts w:ascii="Garamond" w:hAnsi="Garamond" w:cs="Garamond"/>
          <w:b/>
          <w:bCs/>
          <w:sz w:val="22"/>
          <w:szCs w:val="22"/>
        </w:rPr>
      </w:pPr>
      <w:r w:rsidRPr="007501EB">
        <w:rPr>
          <w:rFonts w:ascii="Garamond" w:hAnsi="Garamond" w:cs="Garamond"/>
          <w:b/>
          <w:bCs/>
          <w:spacing w:val="-4"/>
          <w:sz w:val="22"/>
          <w:szCs w:val="22"/>
        </w:rPr>
        <w:t xml:space="preserve">SCHEDA STANDARD DI VALUTAZIONE DELLE POSIZIONI ORGANIZZATIVE </w:t>
      </w:r>
      <w:r w:rsidRPr="007501EB">
        <w:rPr>
          <w:rFonts w:ascii="Garamond" w:hAnsi="Garamond" w:cs="Garamond"/>
          <w:b/>
          <w:bCs/>
          <w:sz w:val="22"/>
          <w:szCs w:val="22"/>
        </w:rPr>
        <w:t xml:space="preserve">(P.O.) </w:t>
      </w:r>
    </w:p>
    <w:p w:rsidR="00DC16F2" w:rsidRPr="007501EB" w:rsidRDefault="00DC16F2" w:rsidP="007501EB">
      <w:pPr>
        <w:tabs>
          <w:tab w:val="right" w:leader="dot" w:pos="5655"/>
        </w:tabs>
        <w:adjustRightInd/>
        <w:spacing w:before="288" w:line="276" w:lineRule="auto"/>
        <w:ind w:left="4176"/>
        <w:rPr>
          <w:rFonts w:ascii="Garamond" w:hAnsi="Garamond" w:cs="Garamond"/>
          <w:b/>
          <w:bCs/>
          <w:sz w:val="22"/>
          <w:szCs w:val="22"/>
        </w:rPr>
      </w:pPr>
      <w:r w:rsidRPr="007501EB">
        <w:rPr>
          <w:rFonts w:ascii="Garamond" w:hAnsi="Garamond" w:cs="Garamond"/>
          <w:b/>
          <w:bCs/>
          <w:sz w:val="22"/>
          <w:szCs w:val="22"/>
        </w:rPr>
        <w:t>Esercizio …………….</w:t>
      </w:r>
    </w:p>
    <w:p w:rsidR="00DC16F2" w:rsidRPr="007501EB" w:rsidRDefault="00DC16F2" w:rsidP="007501EB">
      <w:pPr>
        <w:adjustRightInd/>
        <w:spacing w:before="180" w:after="288"/>
        <w:ind w:left="72" w:right="72"/>
        <w:rPr>
          <w:rFonts w:ascii="Garamond" w:hAnsi="Garamond" w:cs="Garamond"/>
          <w:b/>
          <w:bCs/>
          <w:sz w:val="22"/>
          <w:szCs w:val="22"/>
        </w:rPr>
      </w:pPr>
      <w:r w:rsidRPr="007501EB">
        <w:rPr>
          <w:rFonts w:ascii="Garamond" w:hAnsi="Garamond" w:cs="Garamond"/>
          <w:b/>
          <w:bCs/>
          <w:spacing w:val="-8"/>
          <w:sz w:val="22"/>
          <w:szCs w:val="22"/>
        </w:rPr>
        <w:t xml:space="preserve">Punteggi assegnabili agli indicatori generali di valutazione sotto specificati i cui pesi </w:t>
      </w:r>
      <w:r w:rsidRPr="007501EB">
        <w:rPr>
          <w:rFonts w:ascii="Garamond" w:hAnsi="Garamond" w:cs="Garamond"/>
          <w:b/>
          <w:bCs/>
          <w:spacing w:val="4"/>
          <w:sz w:val="22"/>
          <w:szCs w:val="22"/>
        </w:rPr>
        <w:t xml:space="preserve">moltiplicati per le </w:t>
      </w:r>
      <w:r w:rsidRPr="007501EB">
        <w:rPr>
          <w:rFonts w:ascii="Garamond" w:hAnsi="Garamond" w:cs="Garamond"/>
          <w:spacing w:val="4"/>
          <w:sz w:val="22"/>
          <w:szCs w:val="22"/>
        </w:rPr>
        <w:t xml:space="preserve">% </w:t>
      </w:r>
      <w:r w:rsidRPr="007501EB">
        <w:rPr>
          <w:rFonts w:ascii="Garamond" w:hAnsi="Garamond" w:cs="Garamond"/>
          <w:b/>
          <w:bCs/>
          <w:spacing w:val="4"/>
          <w:sz w:val="22"/>
          <w:szCs w:val="22"/>
        </w:rPr>
        <w:t xml:space="preserve">di performance realizzate nell'allegato schema di report determinano </w:t>
      </w:r>
      <w:r w:rsidRPr="007501EB">
        <w:rPr>
          <w:rFonts w:ascii="Garamond" w:hAnsi="Garamond" w:cs="Garamond"/>
          <w:b/>
          <w:bCs/>
          <w:sz w:val="22"/>
          <w:szCs w:val="22"/>
        </w:rPr>
        <w:t>punteggio finale conseguito.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5"/>
        <w:gridCol w:w="4162"/>
        <w:gridCol w:w="23"/>
        <w:gridCol w:w="1628"/>
        <w:gridCol w:w="33"/>
        <w:gridCol w:w="1805"/>
        <w:gridCol w:w="38"/>
        <w:gridCol w:w="1580"/>
        <w:gridCol w:w="38"/>
      </w:tblGrid>
      <w:tr w:rsidR="00DC16F2" w:rsidRPr="007501EB" w:rsidTr="007501EB">
        <w:trPr>
          <w:trHeight w:hRule="exact" w:val="850"/>
        </w:trPr>
        <w:tc>
          <w:tcPr>
            <w:tcW w:w="4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1467"/>
              <w:jc w:val="right"/>
              <w:rPr>
                <w:spacing w:val="48"/>
                <w:sz w:val="22"/>
                <w:szCs w:val="22"/>
              </w:rPr>
            </w:pPr>
            <w:r w:rsidRPr="007501EB">
              <w:rPr>
                <w:spacing w:val="48"/>
                <w:sz w:val="22"/>
                <w:szCs w:val="22"/>
              </w:rPr>
              <w:t>Indicatori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75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Pesi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144"/>
              <w:jc w:val="center"/>
              <w:rPr>
                <w:spacing w:val="-4"/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X</w:t>
            </w:r>
            <w:r w:rsidRPr="007501EB">
              <w:rPr>
                <w:sz w:val="22"/>
                <w:szCs w:val="22"/>
              </w:rPr>
              <w:br/>
              <w:t>% complessiva</w:t>
            </w:r>
            <w:r w:rsidRPr="007501EB">
              <w:rPr>
                <w:sz w:val="22"/>
                <w:szCs w:val="22"/>
              </w:rPr>
              <w:br/>
            </w:r>
            <w:r w:rsidRPr="007501EB">
              <w:rPr>
                <w:spacing w:val="-4"/>
                <w:sz w:val="22"/>
                <w:szCs w:val="22"/>
              </w:rPr>
              <w:t>Realizzazioni (°)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jc w:val="center"/>
              <w:rPr>
                <w:spacing w:val="-12"/>
                <w:sz w:val="22"/>
                <w:szCs w:val="22"/>
              </w:rPr>
            </w:pPr>
            <w:r w:rsidRPr="007501EB">
              <w:rPr>
                <w:spacing w:val="-12"/>
                <w:sz w:val="22"/>
                <w:szCs w:val="22"/>
              </w:rPr>
              <w:t>Punti conseguiti</w:t>
            </w:r>
          </w:p>
        </w:tc>
      </w:tr>
      <w:tr w:rsidR="00DC16F2" w:rsidRPr="007501EB" w:rsidTr="007501EB">
        <w:trPr>
          <w:trHeight w:hRule="exact" w:val="552"/>
        </w:trPr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A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tabs>
                <w:tab w:val="left" w:pos="1197"/>
                <w:tab w:val="left" w:pos="2880"/>
                <w:tab w:val="left" w:pos="3384"/>
              </w:tabs>
              <w:adjustRightInd/>
              <w:ind w:left="72" w:right="72"/>
              <w:rPr>
                <w:b/>
                <w:bCs/>
                <w:sz w:val="22"/>
                <w:szCs w:val="22"/>
              </w:rPr>
            </w:pPr>
            <w:r w:rsidRPr="007501EB">
              <w:rPr>
                <w:b/>
                <w:bCs/>
                <w:spacing w:val="-2"/>
                <w:sz w:val="22"/>
                <w:szCs w:val="22"/>
              </w:rPr>
              <w:t>Ambito</w:t>
            </w:r>
            <w:r w:rsidRPr="007501EB">
              <w:rPr>
                <w:b/>
                <w:bCs/>
                <w:spacing w:val="-2"/>
                <w:sz w:val="22"/>
                <w:szCs w:val="22"/>
              </w:rPr>
              <w:tab/>
              <w:t>organizzativo</w:t>
            </w:r>
            <w:r w:rsidRPr="007501EB">
              <w:rPr>
                <w:b/>
                <w:bCs/>
                <w:spacing w:val="-2"/>
                <w:sz w:val="22"/>
                <w:szCs w:val="22"/>
              </w:rPr>
              <w:tab/>
              <w:t>di</w:t>
            </w:r>
            <w:r w:rsidRPr="007501EB">
              <w:rPr>
                <w:b/>
                <w:bCs/>
                <w:spacing w:val="-2"/>
                <w:sz w:val="22"/>
                <w:szCs w:val="22"/>
              </w:rPr>
              <w:tab/>
              <w:t>diretta</w:t>
            </w:r>
            <w:r w:rsidRPr="007501EB">
              <w:rPr>
                <w:b/>
                <w:bCs/>
                <w:sz w:val="22"/>
                <w:szCs w:val="22"/>
              </w:rPr>
              <w:br/>
              <w:t>responsabilità: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273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12367" w:rsidRDefault="00DC16F2" w:rsidP="00912367">
            <w:pPr>
              <w:numPr>
                <w:ilvl w:val="0"/>
                <w:numId w:val="5"/>
              </w:numPr>
              <w:adjustRightInd/>
              <w:rPr>
                <w:spacing w:val="10"/>
                <w:sz w:val="22"/>
                <w:szCs w:val="22"/>
              </w:rPr>
            </w:pPr>
            <w:r w:rsidRPr="007501EB">
              <w:rPr>
                <w:spacing w:val="10"/>
                <w:sz w:val="22"/>
                <w:szCs w:val="22"/>
              </w:rPr>
              <w:t xml:space="preserve">capacità di </w:t>
            </w:r>
            <w:r w:rsidR="00912367">
              <w:rPr>
                <w:spacing w:val="10"/>
                <w:sz w:val="22"/>
                <w:szCs w:val="22"/>
              </w:rPr>
              <w:t xml:space="preserve">organizzazione </w:t>
            </w:r>
            <w:proofErr w:type="spellStart"/>
            <w:r w:rsidR="00912367">
              <w:rPr>
                <w:spacing w:val="10"/>
                <w:sz w:val="22"/>
                <w:szCs w:val="22"/>
              </w:rPr>
              <w:t>programm</w:t>
            </w:r>
            <w:proofErr w:type="spellEnd"/>
            <w:r w:rsidR="00912367">
              <w:rPr>
                <w:spacing w:val="10"/>
                <w:sz w:val="22"/>
                <w:szCs w:val="22"/>
              </w:rPr>
              <w:t>.</w:t>
            </w:r>
          </w:p>
          <w:p w:rsidR="00DC16F2" w:rsidRPr="007501EB" w:rsidRDefault="00912367" w:rsidP="00912367">
            <w:pPr>
              <w:numPr>
                <w:ilvl w:val="0"/>
                <w:numId w:val="5"/>
              </w:numPr>
              <w:adjustRightInd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 xml:space="preserve"> </w:t>
            </w:r>
            <w:r w:rsidR="00DC16F2" w:rsidRPr="007501EB">
              <w:rPr>
                <w:spacing w:val="10"/>
                <w:sz w:val="22"/>
                <w:szCs w:val="22"/>
              </w:rPr>
              <w:t>programmare il lavoro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</w:tr>
      <w:tr w:rsidR="00DC16F2" w:rsidRPr="007501EB" w:rsidTr="007501EB">
        <w:trPr>
          <w:trHeight w:hRule="exact" w:val="279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2 - capacità tecnica e professionale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5</w:t>
            </w:r>
          </w:p>
        </w:tc>
      </w:tr>
      <w:tr w:rsidR="00DC16F2" w:rsidRPr="007501EB" w:rsidTr="007501EB">
        <w:trPr>
          <w:trHeight w:hRule="exact" w:val="561"/>
        </w:trPr>
        <w:tc>
          <w:tcPr>
            <w:tcW w:w="6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3 - capacità di coordinamento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5</w:t>
            </w:r>
          </w:p>
        </w:tc>
      </w:tr>
      <w:tr w:rsidR="00DC16F2" w:rsidRPr="007501EB" w:rsidTr="007501EB">
        <w:trPr>
          <w:trHeight w:hRule="exact" w:val="557"/>
        </w:trPr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B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 w:rsidP="00912367">
            <w:pPr>
              <w:adjustRightInd/>
              <w:ind w:left="72" w:right="216"/>
              <w:rPr>
                <w:b/>
                <w:bCs/>
                <w:sz w:val="22"/>
                <w:szCs w:val="22"/>
              </w:rPr>
            </w:pPr>
            <w:r w:rsidRPr="007501EB">
              <w:rPr>
                <w:b/>
                <w:bCs/>
                <w:spacing w:val="-4"/>
                <w:sz w:val="22"/>
                <w:szCs w:val="22"/>
              </w:rPr>
              <w:t xml:space="preserve">Livello di raggiungimento di specifici </w:t>
            </w:r>
            <w:r w:rsidRPr="007501EB">
              <w:rPr>
                <w:b/>
                <w:bCs/>
                <w:sz w:val="22"/>
                <w:szCs w:val="22"/>
              </w:rPr>
              <w:t>obiettivi</w:t>
            </w:r>
            <w:r w:rsidR="00912367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274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1-individuali(da Peg/budget: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1118"/>
        </w:trPr>
        <w:tc>
          <w:tcPr>
            <w:tcW w:w="6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left="72" w:right="144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 xml:space="preserve">complessità della gestione del servizio, </w:t>
            </w:r>
            <w:r w:rsidRPr="007501EB">
              <w:rPr>
                <w:spacing w:val="20"/>
                <w:sz w:val="22"/>
                <w:szCs w:val="22"/>
              </w:rPr>
              <w:t xml:space="preserve">rispetto dei tempi, indicatori e </w:t>
            </w:r>
            <w:r w:rsidRPr="007501EB">
              <w:rPr>
                <w:sz w:val="22"/>
                <w:szCs w:val="22"/>
              </w:rPr>
              <w:t>conseguimento obiettivi)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30</w:t>
            </w:r>
          </w:p>
        </w:tc>
      </w:tr>
      <w:tr w:rsidR="00DC16F2" w:rsidRPr="007501EB" w:rsidTr="007501EB">
        <w:trPr>
          <w:trHeight w:hRule="exact" w:val="557"/>
        </w:trPr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C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72" w:right="216"/>
              <w:rPr>
                <w:b/>
                <w:bCs/>
                <w:sz w:val="22"/>
                <w:szCs w:val="22"/>
              </w:rPr>
            </w:pPr>
            <w:r w:rsidRPr="007501EB">
              <w:rPr>
                <w:b/>
                <w:bCs/>
                <w:sz w:val="22"/>
                <w:szCs w:val="22"/>
              </w:rPr>
              <w:t xml:space="preserve">Qualità del contributo assicurato alla performance generale </w:t>
            </w:r>
            <w:r>
              <w:rPr>
                <w:b/>
                <w:bCs/>
                <w:sz w:val="22"/>
                <w:szCs w:val="22"/>
              </w:rPr>
              <w:t>e organizzativa</w:t>
            </w:r>
            <w:r w:rsidRPr="007501E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269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1-capacità relazionali con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844"/>
        </w:trPr>
        <w:tc>
          <w:tcPr>
            <w:tcW w:w="6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right="504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 xml:space="preserve">l'Amministrazione per l'attuazione </w:t>
            </w:r>
            <w:r>
              <w:rPr>
                <w:sz w:val="22"/>
                <w:szCs w:val="22"/>
              </w:rPr>
              <w:t xml:space="preserve">dei </w:t>
            </w:r>
            <w:r w:rsidRPr="007501EB">
              <w:rPr>
                <w:sz w:val="22"/>
                <w:szCs w:val="22"/>
              </w:rPr>
              <w:t xml:space="preserve">programmi </w:t>
            </w:r>
            <w:r>
              <w:rPr>
                <w:sz w:val="22"/>
                <w:szCs w:val="22"/>
              </w:rPr>
              <w:t>e impatto sul grado di soddisfacimento della collettività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</w:tr>
      <w:tr w:rsidR="00DC16F2" w:rsidRPr="007501EB" w:rsidTr="007501EB">
        <w:trPr>
          <w:trHeight w:hRule="exact" w:val="557"/>
        </w:trPr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D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72" w:right="648" w:firstLine="72"/>
              <w:rPr>
                <w:b/>
                <w:bCs/>
                <w:sz w:val="22"/>
                <w:szCs w:val="22"/>
              </w:rPr>
            </w:pPr>
            <w:r w:rsidRPr="007501EB">
              <w:rPr>
                <w:b/>
                <w:bCs/>
                <w:sz w:val="22"/>
                <w:szCs w:val="22"/>
              </w:rPr>
              <w:t>Grado di soddisfacimento dell’interesse del destinatario dei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269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b/>
                <w:bCs/>
                <w:sz w:val="22"/>
                <w:szCs w:val="22"/>
              </w:rPr>
            </w:pPr>
            <w:r w:rsidRPr="007501EB">
              <w:rPr>
                <w:b/>
                <w:bCs/>
                <w:sz w:val="22"/>
                <w:szCs w:val="22"/>
              </w:rPr>
              <w:t>servizi e degli interventi: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</w:tr>
      <w:tr w:rsidR="00DC16F2" w:rsidRPr="007501EB" w:rsidTr="007501EB">
        <w:trPr>
          <w:trHeight w:hRule="exact" w:val="274"/>
        </w:trPr>
        <w:tc>
          <w:tcPr>
            <w:tcW w:w="6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1 - capacità relazionali con l'utenza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trHeight w:hRule="exact" w:val="297"/>
        </w:trPr>
        <w:tc>
          <w:tcPr>
            <w:tcW w:w="6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6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.2.-.capacità propositiva e d' iniziativa</w:t>
            </w:r>
          </w:p>
        </w:tc>
        <w:tc>
          <w:tcPr>
            <w:tcW w:w="16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6F2" w:rsidRPr="007501EB" w:rsidRDefault="00DC16F2">
            <w:pPr>
              <w:adjustRightInd/>
              <w:ind w:right="660"/>
              <w:jc w:val="right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</w:tr>
      <w:tr w:rsidR="00DC16F2" w:rsidRPr="007501EB" w:rsidTr="007501EB">
        <w:trPr>
          <w:gridAfter w:val="1"/>
          <w:wAfter w:w="38" w:type="dxa"/>
          <w:trHeight w:hRule="exact" w:val="5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jc w:val="right"/>
              <w:rPr>
                <w:color w:val="161616"/>
                <w:sz w:val="22"/>
                <w:szCs w:val="22"/>
              </w:rPr>
            </w:pPr>
            <w:r w:rsidRPr="007501EB">
              <w:rPr>
                <w:color w:val="161616"/>
                <w:sz w:val="22"/>
                <w:szCs w:val="22"/>
              </w:rPr>
              <w:t>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Default="00DC16F2">
            <w:pPr>
              <w:adjustRightInd/>
              <w:ind w:left="72" w:right="360"/>
              <w:rPr>
                <w:b/>
                <w:bCs/>
                <w:color w:val="161616"/>
                <w:spacing w:val="2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pacing w:val="2"/>
                <w:sz w:val="22"/>
                <w:szCs w:val="22"/>
              </w:rPr>
              <w:t xml:space="preserve">Capacità propositiva </w:t>
            </w:r>
            <w:r w:rsidRPr="007501EB">
              <w:rPr>
                <w:b/>
                <w:bCs/>
                <w:spacing w:val="2"/>
                <w:sz w:val="22"/>
                <w:szCs w:val="22"/>
              </w:rPr>
              <w:t xml:space="preserve">e </w:t>
            </w:r>
            <w:r w:rsidRPr="007501EB">
              <w:rPr>
                <w:b/>
                <w:bCs/>
                <w:color w:val="161616"/>
                <w:spacing w:val="2"/>
                <w:sz w:val="22"/>
                <w:szCs w:val="22"/>
              </w:rPr>
              <w:t xml:space="preserve">d'iniziativa: </w:t>
            </w:r>
          </w:p>
          <w:p w:rsidR="00DC16F2" w:rsidRPr="007501EB" w:rsidRDefault="00DC16F2">
            <w:pPr>
              <w:adjustRightInd/>
              <w:ind w:left="72" w:right="360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1 -capacità di risolvere problemi e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gridAfter w:val="1"/>
          <w:wAfter w:w="38" w:type="dxa"/>
          <w:trHeight w:hRule="exact" w:val="8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ind w:right="1512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semplificare le procedure amministrative.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jc w:val="center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</w:t>
            </w:r>
          </w:p>
        </w:tc>
      </w:tr>
      <w:tr w:rsidR="00DC16F2" w:rsidRPr="007501EB" w:rsidTr="007501EB">
        <w:trPr>
          <w:gridAfter w:val="1"/>
          <w:wAfter w:w="38" w:type="dxa"/>
          <w:trHeight w:hRule="exact"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jc w:val="right"/>
              <w:rPr>
                <w:color w:val="161616"/>
                <w:sz w:val="22"/>
                <w:szCs w:val="22"/>
              </w:rPr>
            </w:pPr>
            <w:r w:rsidRPr="007501EB">
              <w:rPr>
                <w:color w:val="161616"/>
                <w:sz w:val="22"/>
                <w:szCs w:val="22"/>
              </w:rPr>
              <w:t>F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58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Capacità di valutazione: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gridAfter w:val="1"/>
          <w:wAfter w:w="38" w:type="dxa"/>
          <w:trHeight w:hRule="exact" w:val="283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58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1 -del personale della propria area di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jc w:val="center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4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4</w:t>
            </w:r>
          </w:p>
        </w:tc>
      </w:tr>
      <w:tr w:rsidR="00DC16F2" w:rsidRPr="007501EB" w:rsidTr="007501EB">
        <w:trPr>
          <w:gridAfter w:val="1"/>
          <w:wAfter w:w="38" w:type="dxa"/>
          <w:trHeight w:hRule="exact" w:val="288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58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appartenenza/ responsabilità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jc w:val="center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4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4</w:t>
            </w:r>
          </w:p>
        </w:tc>
      </w:tr>
      <w:tr w:rsidR="00DC16F2" w:rsidRPr="007501EB" w:rsidTr="007501EB">
        <w:trPr>
          <w:gridAfter w:val="1"/>
          <w:wAfter w:w="38" w:type="dxa"/>
          <w:trHeight w:hRule="exact" w:val="255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6F2" w:rsidRPr="007501EB" w:rsidRDefault="00DC16F2">
            <w:pPr>
              <w:adjustRightInd/>
              <w:ind w:left="58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2 - adattamento alle situazioni critiche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</w:tr>
      <w:tr w:rsidR="00DC16F2" w:rsidRPr="007501EB" w:rsidTr="007501EB">
        <w:trPr>
          <w:gridAfter w:val="1"/>
          <w:wAfter w:w="38" w:type="dxa"/>
          <w:trHeight w:hRule="exact" w:val="8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ind w:left="58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 xml:space="preserve">3 </w:t>
            </w:r>
            <w:r w:rsidRPr="007501EB">
              <w:rPr>
                <w:color w:val="161616"/>
                <w:sz w:val="22"/>
                <w:szCs w:val="22"/>
              </w:rPr>
              <w:t>-</w:t>
            </w:r>
            <w:r w:rsidRPr="007501EB">
              <w:rPr>
                <w:sz w:val="22"/>
                <w:szCs w:val="22"/>
              </w:rPr>
              <w:t xml:space="preserve"> capacità di autovalutazione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jc w:val="center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2</w:t>
            </w:r>
          </w:p>
        </w:tc>
      </w:tr>
      <w:tr w:rsidR="00DC16F2" w:rsidRPr="007501EB" w:rsidTr="007501EB">
        <w:trPr>
          <w:gridAfter w:val="1"/>
          <w:wAfter w:w="38" w:type="dxa"/>
          <w:trHeight w:hRule="exact"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6F2" w:rsidRPr="007501EB" w:rsidRDefault="00DC16F2">
            <w:pPr>
              <w:adjustRightInd/>
              <w:ind w:left="58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Totale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6F2" w:rsidRPr="007501EB" w:rsidRDefault="00DC16F2">
            <w:pPr>
              <w:adjustRightInd/>
              <w:jc w:val="center"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  <w:r w:rsidRPr="007501EB">
              <w:rPr>
                <w:sz w:val="22"/>
                <w:szCs w:val="22"/>
              </w:rPr>
              <w:t>100</w:t>
            </w:r>
          </w:p>
        </w:tc>
      </w:tr>
    </w:tbl>
    <w:p w:rsidR="00DC16F2" w:rsidRPr="007501EB" w:rsidRDefault="00DC16F2" w:rsidP="007501EB">
      <w:pPr>
        <w:adjustRightInd/>
        <w:ind w:left="72" w:right="72"/>
        <w:jc w:val="both"/>
        <w:rPr>
          <w:rFonts w:ascii="Garamond" w:hAnsi="Garamond" w:cs="Garamond"/>
          <w:sz w:val="22"/>
          <w:szCs w:val="22"/>
        </w:rPr>
      </w:pPr>
      <w:r w:rsidRPr="007501EB">
        <w:rPr>
          <w:rFonts w:ascii="Garamond" w:hAnsi="Garamond" w:cs="Garamond"/>
          <w:color w:val="161616"/>
          <w:spacing w:val="12"/>
          <w:sz w:val="22"/>
          <w:szCs w:val="22"/>
        </w:rPr>
        <w:t xml:space="preserve">(°) </w:t>
      </w:r>
      <w:r w:rsidRPr="007501EB">
        <w:rPr>
          <w:rFonts w:ascii="Garamond" w:hAnsi="Garamond" w:cs="Garamond"/>
          <w:spacing w:val="12"/>
          <w:sz w:val="22"/>
          <w:szCs w:val="22"/>
        </w:rPr>
        <w:t xml:space="preserve">Gli obiettivi con l'indicazione </w:t>
      </w:r>
      <w:r w:rsidRPr="007501EB">
        <w:rPr>
          <w:rFonts w:ascii="Garamond" w:hAnsi="Garamond" w:cs="Garamond"/>
          <w:color w:val="161616"/>
          <w:spacing w:val="12"/>
          <w:sz w:val="22"/>
          <w:szCs w:val="22"/>
        </w:rPr>
        <w:t xml:space="preserve">degli </w:t>
      </w:r>
      <w:r w:rsidRPr="007501EB">
        <w:rPr>
          <w:rFonts w:ascii="Garamond" w:hAnsi="Garamond" w:cs="Garamond"/>
          <w:spacing w:val="12"/>
          <w:sz w:val="22"/>
          <w:szCs w:val="22"/>
        </w:rPr>
        <w:t xml:space="preserve">standard con i quali </w:t>
      </w:r>
      <w:r w:rsidRPr="007501EB">
        <w:rPr>
          <w:rFonts w:ascii="Garamond" w:hAnsi="Garamond" w:cs="Garamond"/>
          <w:color w:val="161616"/>
          <w:spacing w:val="12"/>
          <w:sz w:val="22"/>
          <w:szCs w:val="22"/>
        </w:rPr>
        <w:t xml:space="preserve">si </w:t>
      </w:r>
      <w:r w:rsidRPr="007501EB">
        <w:rPr>
          <w:rFonts w:ascii="Garamond" w:hAnsi="Garamond" w:cs="Garamond"/>
          <w:spacing w:val="12"/>
          <w:sz w:val="22"/>
          <w:szCs w:val="22"/>
        </w:rPr>
        <w:t xml:space="preserve">determinane </w:t>
      </w:r>
      <w:r w:rsidRPr="007501EB">
        <w:rPr>
          <w:rFonts w:ascii="Garamond" w:hAnsi="Garamond" w:cs="Garamond"/>
          <w:color w:val="161616"/>
          <w:spacing w:val="12"/>
          <w:sz w:val="22"/>
          <w:szCs w:val="22"/>
        </w:rPr>
        <w:t xml:space="preserve">le </w:t>
      </w:r>
      <w:r w:rsidRPr="007501EB">
        <w:rPr>
          <w:rFonts w:ascii="Garamond" w:hAnsi="Garamond" w:cs="Garamond"/>
          <w:spacing w:val="12"/>
          <w:sz w:val="22"/>
          <w:szCs w:val="22"/>
        </w:rPr>
        <w:t xml:space="preserve">percentuali delle </w:t>
      </w:r>
      <w:r w:rsidRPr="007501EB">
        <w:rPr>
          <w:rFonts w:ascii="Garamond" w:hAnsi="Garamond" w:cs="Garamond"/>
          <w:color w:val="161616"/>
          <w:spacing w:val="12"/>
          <w:sz w:val="22"/>
          <w:szCs w:val="22"/>
        </w:rPr>
        <w:lastRenderedPageBreak/>
        <w:t xml:space="preserve">realizzazioni </w:t>
      </w:r>
      <w:r w:rsidRPr="007501EB">
        <w:rPr>
          <w:rFonts w:ascii="Garamond" w:hAnsi="Garamond" w:cs="Garamond"/>
          <w:spacing w:val="4"/>
          <w:sz w:val="22"/>
          <w:szCs w:val="22"/>
        </w:rPr>
        <w:t xml:space="preserve">conseguite, da moltiplicare per i pesi </w:t>
      </w:r>
      <w:r w:rsidRPr="007501EB">
        <w:rPr>
          <w:rFonts w:ascii="Garamond" w:hAnsi="Garamond" w:cs="Garamond"/>
          <w:color w:val="161616"/>
          <w:spacing w:val="4"/>
          <w:sz w:val="22"/>
          <w:szCs w:val="22"/>
        </w:rPr>
        <w:t xml:space="preserve">sopra </w:t>
      </w:r>
      <w:r w:rsidRPr="007501EB">
        <w:rPr>
          <w:rFonts w:ascii="Garamond" w:hAnsi="Garamond" w:cs="Garamond"/>
          <w:spacing w:val="4"/>
          <w:sz w:val="22"/>
          <w:szCs w:val="22"/>
        </w:rPr>
        <w:t xml:space="preserve">specificati (che potranno anche </w:t>
      </w:r>
      <w:r w:rsidRPr="007501EB">
        <w:rPr>
          <w:rFonts w:ascii="Garamond" w:hAnsi="Garamond" w:cs="Garamond"/>
          <w:color w:val="161616"/>
          <w:spacing w:val="4"/>
          <w:sz w:val="22"/>
          <w:szCs w:val="22"/>
        </w:rPr>
        <w:t xml:space="preserve">essere </w:t>
      </w:r>
      <w:r w:rsidRPr="007501EB">
        <w:rPr>
          <w:rFonts w:ascii="Garamond" w:hAnsi="Garamond" w:cs="Garamond"/>
          <w:spacing w:val="4"/>
          <w:sz w:val="22"/>
          <w:szCs w:val="22"/>
        </w:rPr>
        <w:t xml:space="preserve">modificati di anno </w:t>
      </w:r>
      <w:r w:rsidRPr="007501EB">
        <w:rPr>
          <w:rFonts w:ascii="Garamond" w:hAnsi="Garamond" w:cs="Garamond"/>
          <w:color w:val="161616"/>
          <w:spacing w:val="4"/>
          <w:sz w:val="22"/>
          <w:szCs w:val="22"/>
        </w:rPr>
        <w:t xml:space="preserve">in anno </w:t>
      </w:r>
      <w:r w:rsidRPr="007501EB">
        <w:rPr>
          <w:rFonts w:ascii="Garamond" w:hAnsi="Garamond" w:cs="Garamond"/>
          <w:sz w:val="22"/>
          <w:szCs w:val="22"/>
        </w:rPr>
        <w:t>dal</w:t>
      </w:r>
      <w:r>
        <w:rPr>
          <w:rFonts w:ascii="Garamond" w:hAnsi="Garamond" w:cs="Garamond"/>
          <w:sz w:val="22"/>
          <w:szCs w:val="22"/>
        </w:rPr>
        <w:t xml:space="preserve">la </w:t>
      </w:r>
      <w:r w:rsidRPr="007501EB">
        <w:rPr>
          <w:rFonts w:ascii="Garamond" w:hAnsi="Garamond" w:cs="Garamond"/>
          <w:sz w:val="22"/>
          <w:szCs w:val="22"/>
        </w:rPr>
        <w:t>P</w:t>
      </w:r>
      <w:r>
        <w:rPr>
          <w:rFonts w:ascii="Garamond" w:hAnsi="Garamond" w:cs="Garamond"/>
          <w:sz w:val="22"/>
          <w:szCs w:val="22"/>
        </w:rPr>
        <w:t xml:space="preserve">. </w:t>
      </w:r>
      <w:r w:rsidRPr="007501EB">
        <w:rPr>
          <w:rFonts w:ascii="Garamond" w:hAnsi="Garamond" w:cs="Garamond"/>
          <w:sz w:val="22"/>
          <w:szCs w:val="22"/>
        </w:rPr>
        <w:t>Amministrazione) sono desunti dal PEG/PDO/PRO.</w:t>
      </w:r>
    </w:p>
    <w:p w:rsidR="00DC16F2" w:rsidRPr="007501EB" w:rsidRDefault="00DC16F2" w:rsidP="007501EB">
      <w:pPr>
        <w:adjustRightInd/>
        <w:spacing w:before="216" w:line="292" w:lineRule="auto"/>
        <w:ind w:left="2448"/>
        <w:rPr>
          <w:b/>
          <w:bCs/>
          <w:color w:val="161616"/>
          <w:sz w:val="22"/>
          <w:szCs w:val="22"/>
        </w:rPr>
      </w:pPr>
      <w:r w:rsidRPr="007501EB">
        <w:rPr>
          <w:b/>
          <w:bCs/>
          <w:color w:val="161616"/>
          <w:sz w:val="22"/>
          <w:szCs w:val="22"/>
        </w:rPr>
        <w:t xml:space="preserve">Criteri di distribuzione del punteggi </w:t>
      </w:r>
      <w:r w:rsidRPr="007501EB">
        <w:rPr>
          <w:b/>
          <w:bCs/>
          <w:sz w:val="22"/>
          <w:szCs w:val="22"/>
        </w:rPr>
        <w:t xml:space="preserve">e </w:t>
      </w:r>
      <w:r w:rsidRPr="007501EB">
        <w:rPr>
          <w:b/>
          <w:bCs/>
          <w:color w:val="161616"/>
          <w:sz w:val="22"/>
          <w:szCs w:val="22"/>
        </w:rPr>
        <w:t>delle risorse</w:t>
      </w:r>
    </w:p>
    <w:p w:rsidR="00DC16F2" w:rsidRPr="007501EB" w:rsidRDefault="00DC16F2" w:rsidP="007501EB">
      <w:pPr>
        <w:adjustRightInd/>
        <w:spacing w:before="216"/>
        <w:ind w:left="72" w:right="72"/>
        <w:jc w:val="both"/>
        <w:rPr>
          <w:sz w:val="22"/>
          <w:szCs w:val="22"/>
        </w:rPr>
      </w:pPr>
      <w:r w:rsidRPr="007501EB">
        <w:rPr>
          <w:spacing w:val="-2"/>
          <w:sz w:val="22"/>
          <w:szCs w:val="22"/>
        </w:rPr>
        <w:t xml:space="preserve">Da punti 0 a punti 59 assegnati e confermati: la valutazione e negativa e non compete l'indennità di </w:t>
      </w:r>
      <w:r w:rsidRPr="007501EB">
        <w:rPr>
          <w:sz w:val="22"/>
          <w:szCs w:val="22"/>
        </w:rPr>
        <w:t>risultato.</w:t>
      </w:r>
    </w:p>
    <w:p w:rsidR="00DC16F2" w:rsidRPr="007501EB" w:rsidRDefault="00DC16F2" w:rsidP="007501EB">
      <w:pPr>
        <w:adjustRightInd/>
        <w:ind w:left="72" w:right="72"/>
        <w:jc w:val="both"/>
        <w:rPr>
          <w:sz w:val="22"/>
          <w:szCs w:val="22"/>
        </w:rPr>
      </w:pPr>
      <w:r w:rsidRPr="007501EB">
        <w:rPr>
          <w:spacing w:val="4"/>
          <w:sz w:val="22"/>
          <w:szCs w:val="22"/>
        </w:rPr>
        <w:t xml:space="preserve">Da punti 60 a punti 100 proposti dal Nucleo di Valutazione alla Giunta: la valutazione e positiva, </w:t>
      </w:r>
      <w:r w:rsidRPr="007501EB">
        <w:rPr>
          <w:spacing w:val="7"/>
          <w:sz w:val="22"/>
          <w:szCs w:val="22"/>
        </w:rPr>
        <w:t xml:space="preserve">ma la distribuzione dell'indennità di posizione e da assegnare sulla base delle </w:t>
      </w:r>
      <w:r w:rsidRPr="007501EB">
        <w:rPr>
          <w:sz w:val="22"/>
          <w:szCs w:val="22"/>
        </w:rPr>
        <w:t xml:space="preserve">seguenti gradualità (art. 10 CCNL 21.01.2004 e </w:t>
      </w:r>
      <w:proofErr w:type="spellStart"/>
      <w:r w:rsidRPr="007501EB">
        <w:rPr>
          <w:sz w:val="22"/>
          <w:szCs w:val="22"/>
        </w:rPr>
        <w:t>s.m.i.</w:t>
      </w:r>
      <w:proofErr w:type="spellEnd"/>
      <w:r w:rsidRPr="007501EB">
        <w:rPr>
          <w:sz w:val="22"/>
          <w:szCs w:val="22"/>
        </w:rPr>
        <w:t>):</w:t>
      </w:r>
    </w:p>
    <w:p w:rsidR="00DC16F2" w:rsidRPr="00205926" w:rsidRDefault="00DC16F2" w:rsidP="00205926">
      <w:pPr>
        <w:pStyle w:val="Paragrafoelenco"/>
        <w:numPr>
          <w:ilvl w:val="0"/>
          <w:numId w:val="4"/>
        </w:numPr>
        <w:adjustRightInd/>
        <w:spacing w:before="252"/>
        <w:rPr>
          <w:spacing w:val="4"/>
          <w:sz w:val="22"/>
          <w:szCs w:val="22"/>
        </w:rPr>
      </w:pPr>
      <w:r w:rsidRPr="00205926">
        <w:rPr>
          <w:b/>
          <w:bCs/>
          <w:spacing w:val="4"/>
          <w:sz w:val="22"/>
          <w:szCs w:val="22"/>
        </w:rPr>
        <w:t>1</w:t>
      </w:r>
      <w:r w:rsidR="009078C9">
        <w:rPr>
          <w:b/>
          <w:bCs/>
          <w:spacing w:val="4"/>
          <w:sz w:val="22"/>
          <w:szCs w:val="22"/>
        </w:rPr>
        <w:t>5</w:t>
      </w:r>
      <w:r w:rsidRPr="00205926">
        <w:rPr>
          <w:b/>
          <w:bCs/>
          <w:spacing w:val="4"/>
          <w:sz w:val="22"/>
          <w:szCs w:val="22"/>
        </w:rPr>
        <w:t xml:space="preserve">% </w:t>
      </w:r>
      <w:r w:rsidRPr="00205926">
        <w:rPr>
          <w:spacing w:val="4"/>
          <w:sz w:val="22"/>
          <w:szCs w:val="22"/>
        </w:rPr>
        <w:t>=</w:t>
      </w:r>
      <w:r w:rsidRPr="00205926">
        <w:rPr>
          <w:spacing w:val="4"/>
          <w:sz w:val="22"/>
          <w:szCs w:val="22"/>
          <w:u w:val="single"/>
        </w:rPr>
        <w:t xml:space="preserve"> </w:t>
      </w:r>
      <w:r w:rsidRPr="00205926">
        <w:rPr>
          <w:spacing w:val="4"/>
          <w:sz w:val="22"/>
          <w:szCs w:val="22"/>
        </w:rPr>
        <w:t xml:space="preserve">da 60 a 69 punti: viene </w:t>
      </w:r>
      <w:r w:rsidRPr="00205926">
        <w:rPr>
          <w:spacing w:val="4"/>
          <w:sz w:val="22"/>
          <w:szCs w:val="22"/>
          <w:u w:val="single"/>
        </w:rPr>
        <w:t xml:space="preserve">assegnato il minimo </w:t>
      </w:r>
      <w:r w:rsidRPr="00205926">
        <w:rPr>
          <w:spacing w:val="4"/>
          <w:sz w:val="22"/>
          <w:szCs w:val="22"/>
        </w:rPr>
        <w:t>pari al 1</w:t>
      </w:r>
      <w:r w:rsidR="009078C9">
        <w:rPr>
          <w:spacing w:val="4"/>
          <w:sz w:val="22"/>
          <w:szCs w:val="22"/>
        </w:rPr>
        <w:t>5</w:t>
      </w:r>
      <w:r w:rsidRPr="00205926">
        <w:rPr>
          <w:spacing w:val="4"/>
          <w:sz w:val="22"/>
          <w:szCs w:val="22"/>
        </w:rPr>
        <w:t>% della indennità di P.O. in   godimento</w:t>
      </w:r>
    </w:p>
    <w:p w:rsidR="00DC16F2" w:rsidRPr="00205926" w:rsidRDefault="009078C9" w:rsidP="00205926">
      <w:pPr>
        <w:pStyle w:val="Paragrafoelenco"/>
        <w:numPr>
          <w:ilvl w:val="0"/>
          <w:numId w:val="4"/>
        </w:numPr>
        <w:adjustRightInd/>
        <w:rPr>
          <w:sz w:val="22"/>
          <w:szCs w:val="22"/>
        </w:rPr>
      </w:pPr>
      <w:r>
        <w:rPr>
          <w:b/>
          <w:bCs/>
          <w:sz w:val="22"/>
          <w:szCs w:val="22"/>
        </w:rPr>
        <w:t>18</w:t>
      </w:r>
      <w:r w:rsidR="00DC16F2" w:rsidRPr="00205926">
        <w:rPr>
          <w:b/>
          <w:bCs/>
          <w:sz w:val="22"/>
          <w:szCs w:val="22"/>
        </w:rPr>
        <w:t xml:space="preserve">% </w:t>
      </w:r>
      <w:r w:rsidR="00DC16F2" w:rsidRPr="00205926">
        <w:rPr>
          <w:rFonts w:ascii="Bookman Old Style" w:hAnsi="Bookman Old Style" w:cs="Bookman Old Style"/>
          <w:sz w:val="22"/>
          <w:szCs w:val="22"/>
        </w:rPr>
        <w:t xml:space="preserve">= </w:t>
      </w:r>
      <w:r w:rsidR="00DC16F2" w:rsidRPr="00205926">
        <w:rPr>
          <w:sz w:val="22"/>
          <w:szCs w:val="22"/>
        </w:rPr>
        <w:t xml:space="preserve">da 70 a 79 punti viene </w:t>
      </w:r>
      <w:r w:rsidR="00DC16F2" w:rsidRPr="00205926">
        <w:rPr>
          <w:sz w:val="22"/>
          <w:szCs w:val="22"/>
          <w:u w:val="single"/>
        </w:rPr>
        <w:t xml:space="preserve">assegnato un importo pari al </w:t>
      </w:r>
      <w:r>
        <w:rPr>
          <w:sz w:val="22"/>
          <w:szCs w:val="22"/>
        </w:rPr>
        <w:t>18</w:t>
      </w:r>
      <w:r w:rsidR="00DC16F2" w:rsidRPr="00205926">
        <w:rPr>
          <w:sz w:val="22"/>
          <w:szCs w:val="22"/>
        </w:rPr>
        <w:t>% della indennità di P.O.</w:t>
      </w:r>
      <w:r w:rsidR="00DC16F2" w:rsidRPr="00205926">
        <w:rPr>
          <w:spacing w:val="4"/>
          <w:sz w:val="22"/>
          <w:szCs w:val="22"/>
        </w:rPr>
        <w:t xml:space="preserve"> </w:t>
      </w:r>
      <w:r w:rsidR="00DC16F2" w:rsidRPr="00205926">
        <w:rPr>
          <w:sz w:val="22"/>
          <w:szCs w:val="22"/>
        </w:rPr>
        <w:t>in   godimento</w:t>
      </w:r>
    </w:p>
    <w:p w:rsidR="00DC16F2" w:rsidRPr="00205926" w:rsidRDefault="00DC16F2" w:rsidP="00205926">
      <w:pPr>
        <w:pStyle w:val="Paragrafoelenco"/>
        <w:numPr>
          <w:ilvl w:val="0"/>
          <w:numId w:val="4"/>
        </w:numPr>
        <w:adjustRightInd/>
        <w:rPr>
          <w:sz w:val="22"/>
          <w:szCs w:val="22"/>
        </w:rPr>
      </w:pPr>
      <w:r w:rsidRPr="00205926">
        <w:rPr>
          <w:b/>
          <w:bCs/>
          <w:sz w:val="22"/>
          <w:szCs w:val="22"/>
        </w:rPr>
        <w:t>2</w:t>
      </w:r>
      <w:r w:rsidR="009078C9">
        <w:rPr>
          <w:b/>
          <w:bCs/>
          <w:sz w:val="22"/>
          <w:szCs w:val="22"/>
        </w:rPr>
        <w:t>1</w:t>
      </w:r>
      <w:r w:rsidRPr="00205926">
        <w:rPr>
          <w:b/>
          <w:bCs/>
          <w:sz w:val="22"/>
          <w:szCs w:val="22"/>
        </w:rPr>
        <w:t xml:space="preserve">% </w:t>
      </w:r>
      <w:r w:rsidRPr="00205926">
        <w:rPr>
          <w:sz w:val="22"/>
          <w:szCs w:val="22"/>
        </w:rPr>
        <w:t xml:space="preserve">= da 79 a 89 punti viene </w:t>
      </w:r>
      <w:r w:rsidRPr="00205926">
        <w:rPr>
          <w:sz w:val="22"/>
          <w:szCs w:val="22"/>
          <w:u w:val="single"/>
        </w:rPr>
        <w:t xml:space="preserve">assegnato un importo pari al </w:t>
      </w:r>
      <w:r w:rsidRPr="00205926">
        <w:rPr>
          <w:sz w:val="22"/>
          <w:szCs w:val="22"/>
        </w:rPr>
        <w:t>2</w:t>
      </w:r>
      <w:r w:rsidR="009078C9">
        <w:rPr>
          <w:sz w:val="22"/>
          <w:szCs w:val="22"/>
        </w:rPr>
        <w:t>1</w:t>
      </w:r>
      <w:r w:rsidRPr="00205926">
        <w:rPr>
          <w:sz w:val="22"/>
          <w:szCs w:val="22"/>
        </w:rPr>
        <w:t>% della indennità di P.O. in   godimento</w:t>
      </w:r>
    </w:p>
    <w:p w:rsidR="00DC16F2" w:rsidRPr="00205926" w:rsidRDefault="00DC16F2" w:rsidP="00205926">
      <w:pPr>
        <w:pStyle w:val="Paragrafoelenco"/>
        <w:numPr>
          <w:ilvl w:val="0"/>
          <w:numId w:val="4"/>
        </w:numPr>
        <w:adjustRightInd/>
        <w:spacing w:after="864"/>
        <w:ind w:right="72"/>
        <w:jc w:val="both"/>
        <w:rPr>
          <w:spacing w:val="3"/>
          <w:sz w:val="22"/>
          <w:szCs w:val="22"/>
        </w:rPr>
      </w:pPr>
      <w:r w:rsidRPr="00205926">
        <w:rPr>
          <w:b/>
          <w:bCs/>
          <w:spacing w:val="3"/>
          <w:sz w:val="22"/>
          <w:szCs w:val="22"/>
        </w:rPr>
        <w:t xml:space="preserve">25%= </w:t>
      </w:r>
      <w:r w:rsidRPr="00205926">
        <w:rPr>
          <w:spacing w:val="3"/>
          <w:sz w:val="22"/>
          <w:szCs w:val="22"/>
        </w:rPr>
        <w:t xml:space="preserve">da 90 a 100 punti. </w:t>
      </w:r>
      <w:r w:rsidRPr="00205926">
        <w:rPr>
          <w:spacing w:val="3"/>
          <w:sz w:val="22"/>
          <w:szCs w:val="22"/>
          <w:u w:val="single"/>
        </w:rPr>
        <w:t xml:space="preserve">assegnato un importo pari al </w:t>
      </w:r>
      <w:r w:rsidRPr="00205926">
        <w:rPr>
          <w:spacing w:val="3"/>
          <w:sz w:val="22"/>
          <w:szCs w:val="22"/>
        </w:rPr>
        <w:t>2</w:t>
      </w:r>
      <w:r w:rsidR="009078C9">
        <w:rPr>
          <w:spacing w:val="3"/>
          <w:sz w:val="22"/>
          <w:szCs w:val="22"/>
        </w:rPr>
        <w:t>5</w:t>
      </w:r>
      <w:r w:rsidRPr="00205926">
        <w:rPr>
          <w:spacing w:val="3"/>
          <w:sz w:val="22"/>
          <w:szCs w:val="22"/>
        </w:rPr>
        <w:t>% della indennità di P.O. in   godimento</w:t>
      </w:r>
    </w:p>
    <w:p w:rsidR="00DC16F2" w:rsidRPr="007501EB" w:rsidRDefault="00DC16F2" w:rsidP="00205926">
      <w:pPr>
        <w:adjustRightInd/>
        <w:spacing w:after="864"/>
        <w:ind w:left="432" w:right="72"/>
        <w:jc w:val="both"/>
        <w:rPr>
          <w:rFonts w:ascii="Bookman Old Style" w:hAnsi="Bookman Old Style" w:cs="Bookman Old Style"/>
          <w:sz w:val="22"/>
          <w:szCs w:val="22"/>
        </w:rPr>
      </w:pPr>
      <w:r w:rsidRPr="007501EB">
        <w:rPr>
          <w:spacing w:val="3"/>
          <w:sz w:val="22"/>
          <w:szCs w:val="22"/>
        </w:rPr>
        <w:t xml:space="preserve">Tale percentuale di valutazione e la relativa corresponsione </w:t>
      </w:r>
      <w:r w:rsidRPr="007501EB">
        <w:rPr>
          <w:spacing w:val="1"/>
          <w:sz w:val="22"/>
          <w:szCs w:val="22"/>
        </w:rPr>
        <w:t xml:space="preserve">economica sono subordinate alla capacità di spesa dell'Ente e ai limiti di Bilancio imposti dalle varie leggi finanziarie tempo per tempo vigenti pertanto, ove nell'Ente per motivi </w:t>
      </w:r>
      <w:r w:rsidRPr="007501EB">
        <w:rPr>
          <w:sz w:val="22"/>
          <w:szCs w:val="22"/>
        </w:rPr>
        <w:t xml:space="preserve">economici e stato stabilito come limite il 20%, questo sarà considerato massimo indipendentemente dalla valutazione individuale della </w:t>
      </w:r>
      <w:r w:rsidRPr="007501EB">
        <w:rPr>
          <w:rFonts w:ascii="Bookman Old Style" w:hAnsi="Bookman Old Style" w:cs="Bookman Old Style"/>
          <w:sz w:val="22"/>
          <w:szCs w:val="22"/>
        </w:rPr>
        <w:t>P. 0.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7"/>
        <w:gridCol w:w="2174"/>
        <w:gridCol w:w="2117"/>
        <w:gridCol w:w="1997"/>
        <w:gridCol w:w="1963"/>
      </w:tblGrid>
      <w:tr w:rsidR="00DC16F2" w:rsidRPr="007501EB" w:rsidTr="007501EB">
        <w:trPr>
          <w:trHeight w:hRule="exact" w:val="148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jc w:val="center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Valutato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 w:rsidP="005E3B74">
            <w:pPr>
              <w:adjustRightInd/>
              <w:jc w:val="center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(Anno N)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  <w:t>Punteggio finale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 w:rsidP="005E3B74">
            <w:pPr>
              <w:adjustRightInd/>
              <w:jc w:val="center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(Anno N)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  <w:t>Importi assegnati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 w:rsidP="005E3B74">
            <w:pPr>
              <w:adjustRightInd/>
              <w:jc w:val="center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(Anno N-1)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  <w:t>Punteggio finale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 w:rsidP="005E3B74">
            <w:pPr>
              <w:adjustRightInd/>
              <w:jc w:val="center"/>
              <w:rPr>
                <w:b/>
                <w:bCs/>
                <w:color w:val="161616"/>
                <w:sz w:val="22"/>
                <w:szCs w:val="22"/>
              </w:rPr>
            </w:pPr>
            <w:r w:rsidRPr="007501EB">
              <w:rPr>
                <w:b/>
                <w:bCs/>
                <w:color w:val="161616"/>
                <w:sz w:val="22"/>
                <w:szCs w:val="22"/>
              </w:rPr>
              <w:t>(Anno N-1)</w:t>
            </w:r>
            <w:r w:rsidRPr="007501EB">
              <w:rPr>
                <w:b/>
                <w:bCs/>
                <w:color w:val="161616"/>
                <w:sz w:val="22"/>
                <w:szCs w:val="22"/>
              </w:rPr>
              <w:br/>
              <w:t xml:space="preserve">Import' </w:t>
            </w:r>
            <w:r w:rsidRPr="007501EB">
              <w:rPr>
                <w:b/>
                <w:bCs/>
                <w:sz w:val="22"/>
                <w:szCs w:val="22"/>
              </w:rPr>
              <w:t>assegnati</w:t>
            </w:r>
            <w:r w:rsidRPr="007501EB">
              <w:rPr>
                <w:b/>
                <w:bCs/>
                <w:sz w:val="22"/>
                <w:szCs w:val="22"/>
              </w:rPr>
              <w:br/>
            </w:r>
          </w:p>
        </w:tc>
      </w:tr>
      <w:tr w:rsidR="00DC16F2" w:rsidRPr="007501EB" w:rsidTr="007501EB">
        <w:trPr>
          <w:trHeight w:hRule="exact" w:val="57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9078C9">
            <w:pPr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  <w:r w:rsidR="00DC16F2" w:rsidRPr="007501EB">
              <w:rPr>
                <w:sz w:val="22"/>
                <w:szCs w:val="22"/>
              </w:rPr>
              <w:t>% retribuzione di risultato proporzionata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DC16F2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F2" w:rsidRPr="007501EB" w:rsidRDefault="009078C9">
            <w:pPr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="00DC16F2" w:rsidRPr="007501EB">
              <w:rPr>
                <w:sz w:val="22"/>
                <w:szCs w:val="22"/>
              </w:rPr>
              <w:t>%retribuzione di risultato</w:t>
            </w:r>
          </w:p>
        </w:tc>
      </w:tr>
    </w:tbl>
    <w:p w:rsidR="00DC16F2" w:rsidRPr="007501EB" w:rsidRDefault="00DC16F2" w:rsidP="007501EB">
      <w:pPr>
        <w:adjustRightInd/>
        <w:spacing w:after="196" w:line="20" w:lineRule="exact"/>
        <w:ind w:left="15"/>
        <w:rPr>
          <w:sz w:val="22"/>
          <w:szCs w:val="22"/>
        </w:rPr>
      </w:pPr>
    </w:p>
    <w:p w:rsidR="00DC16F2" w:rsidRPr="007501EB" w:rsidRDefault="00DC16F2" w:rsidP="007501EB">
      <w:pPr>
        <w:adjustRightInd/>
        <w:spacing w:after="360" w:line="319" w:lineRule="auto"/>
        <w:ind w:left="72"/>
        <w:rPr>
          <w:sz w:val="22"/>
          <w:szCs w:val="22"/>
        </w:rPr>
      </w:pPr>
      <w:r w:rsidRPr="007501EB">
        <w:rPr>
          <w:sz w:val="22"/>
          <w:szCs w:val="22"/>
        </w:rPr>
        <w:t xml:space="preserve">Eventuali indicazioni per </w:t>
      </w:r>
      <w:r w:rsidRPr="007501EB">
        <w:rPr>
          <w:color w:val="161616"/>
          <w:sz w:val="22"/>
          <w:szCs w:val="22"/>
        </w:rPr>
        <w:t xml:space="preserve">il </w:t>
      </w:r>
      <w:r w:rsidRPr="007501EB">
        <w:rPr>
          <w:sz w:val="22"/>
          <w:szCs w:val="22"/>
        </w:rPr>
        <w:t>miglioramento delle prestazioni a cura del Nucleo di Valutazione</w:t>
      </w:r>
    </w:p>
    <w:p w:rsidR="00DC16F2" w:rsidRPr="007501EB" w:rsidRDefault="00DC16F2" w:rsidP="007501EB">
      <w:pPr>
        <w:adjustRightInd/>
        <w:spacing w:after="360" w:line="319" w:lineRule="auto"/>
        <w:ind w:left="72"/>
        <w:rPr>
          <w:sz w:val="22"/>
          <w:szCs w:val="22"/>
        </w:rPr>
      </w:pPr>
      <w:r w:rsidRPr="007501EB">
        <w:rPr>
          <w:sz w:val="22"/>
          <w:szCs w:val="22"/>
        </w:rPr>
        <w:t xml:space="preserve">Data. </w:t>
      </w:r>
    </w:p>
    <w:p w:rsidR="00DC16F2" w:rsidRPr="007501EB" w:rsidRDefault="00DC16F2" w:rsidP="007501EB">
      <w:pPr>
        <w:adjustRightInd/>
        <w:spacing w:after="360" w:line="319" w:lineRule="auto"/>
        <w:ind w:left="72"/>
        <w:rPr>
          <w:sz w:val="22"/>
          <w:szCs w:val="22"/>
        </w:rPr>
      </w:pPr>
      <w:r w:rsidRPr="007501EB">
        <w:rPr>
          <w:sz w:val="22"/>
          <w:szCs w:val="22"/>
        </w:rPr>
        <w:t>Il Presidente                                                                               Il Membro esterno</w:t>
      </w:r>
    </w:p>
    <w:p w:rsidR="00DC16F2" w:rsidRDefault="00DC16F2" w:rsidP="007501EB">
      <w:pPr>
        <w:tabs>
          <w:tab w:val="left" w:leader="dot" w:pos="3426"/>
        </w:tabs>
        <w:adjustRightInd/>
        <w:spacing w:before="252" w:line="480" w:lineRule="auto"/>
        <w:ind w:right="864" w:firstLine="1728"/>
        <w:rPr>
          <w:b/>
          <w:bCs/>
          <w:color w:val="1A1A1A"/>
          <w:spacing w:val="10"/>
          <w:sz w:val="22"/>
          <w:szCs w:val="22"/>
        </w:rPr>
      </w:pPr>
      <w:r w:rsidRPr="007501EB">
        <w:rPr>
          <w:b/>
          <w:bCs/>
          <w:sz w:val="22"/>
          <w:szCs w:val="22"/>
        </w:rPr>
        <w:br/>
      </w:r>
      <w:r w:rsidRPr="007501EB">
        <w:rPr>
          <w:b/>
          <w:bCs/>
          <w:color w:val="1A1A1A"/>
          <w:spacing w:val="10"/>
          <w:sz w:val="22"/>
          <w:szCs w:val="22"/>
        </w:rPr>
        <w:t>VISTO DI VALIDAZIONE PER LA CORRESPONSIONE DEL RISULTATO</w:t>
      </w:r>
    </w:p>
    <w:p w:rsidR="00DC16F2" w:rsidRPr="007501EB" w:rsidRDefault="00DC16F2" w:rsidP="007501EB">
      <w:pPr>
        <w:tabs>
          <w:tab w:val="left" w:leader="dot" w:pos="3426"/>
        </w:tabs>
        <w:adjustRightInd/>
        <w:spacing w:before="252" w:line="480" w:lineRule="auto"/>
        <w:ind w:right="864"/>
        <w:rPr>
          <w:b/>
          <w:bCs/>
          <w:color w:val="1A1A1A"/>
          <w:sz w:val="22"/>
          <w:szCs w:val="22"/>
        </w:rPr>
      </w:pPr>
      <w:r w:rsidRPr="007501EB">
        <w:rPr>
          <w:b/>
          <w:bCs/>
          <w:color w:val="1A1A1A"/>
          <w:spacing w:val="10"/>
          <w:sz w:val="22"/>
          <w:szCs w:val="22"/>
        </w:rPr>
        <w:t xml:space="preserve"> </w:t>
      </w:r>
      <w:r w:rsidRPr="007501EB">
        <w:rPr>
          <w:b/>
          <w:bCs/>
          <w:color w:val="1A1A1A"/>
          <w:sz w:val="22"/>
          <w:szCs w:val="22"/>
        </w:rPr>
        <w:t>Data</w:t>
      </w:r>
      <w:r w:rsidRPr="007501EB">
        <w:rPr>
          <w:b/>
          <w:bCs/>
          <w:color w:val="1A1A1A"/>
          <w:sz w:val="22"/>
          <w:szCs w:val="22"/>
        </w:rPr>
        <w:tab/>
      </w:r>
      <w:r>
        <w:rPr>
          <w:b/>
          <w:bCs/>
          <w:color w:val="1A1A1A"/>
          <w:sz w:val="22"/>
          <w:szCs w:val="22"/>
        </w:rPr>
        <w:t xml:space="preserve">                                              </w:t>
      </w:r>
      <w:r w:rsidRPr="007501EB">
        <w:rPr>
          <w:b/>
          <w:bCs/>
          <w:color w:val="1A1A1A"/>
          <w:sz w:val="22"/>
          <w:szCs w:val="22"/>
        </w:rPr>
        <w:t>Il Sindaco</w:t>
      </w:r>
    </w:p>
    <w:p w:rsidR="00DC16F2" w:rsidRDefault="00DC16F2" w:rsidP="007501EB">
      <w:pPr>
        <w:adjustRightInd/>
        <w:spacing w:before="504" w:after="144" w:line="266" w:lineRule="auto"/>
        <w:rPr>
          <w:b/>
          <w:bCs/>
          <w:color w:val="1A1A1A"/>
          <w:sz w:val="22"/>
          <w:szCs w:val="22"/>
        </w:rPr>
      </w:pPr>
      <w:r w:rsidRPr="007501EB">
        <w:rPr>
          <w:b/>
          <w:bCs/>
          <w:color w:val="1A1A1A"/>
          <w:sz w:val="22"/>
          <w:szCs w:val="22"/>
        </w:rPr>
        <w:t>Eventuali osservazioni del Sindaco</w:t>
      </w:r>
    </w:p>
    <w:p w:rsidR="00DC16F2" w:rsidRPr="007501EB" w:rsidRDefault="00DC16F2" w:rsidP="007501EB">
      <w:pPr>
        <w:adjustRightInd/>
        <w:spacing w:before="504" w:after="144" w:line="266" w:lineRule="auto"/>
        <w:rPr>
          <w:b/>
          <w:bCs/>
          <w:color w:val="1A1A1A"/>
          <w:sz w:val="22"/>
          <w:szCs w:val="22"/>
        </w:rPr>
      </w:pPr>
      <w:r>
        <w:rPr>
          <w:b/>
          <w:bCs/>
          <w:color w:val="1A1A1A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:rsidR="00DC16F2" w:rsidRPr="007501EB" w:rsidRDefault="00DC16F2" w:rsidP="007501EB">
      <w:pPr>
        <w:adjustRightInd/>
        <w:spacing w:before="684"/>
        <w:jc w:val="center"/>
        <w:rPr>
          <w:sz w:val="22"/>
          <w:szCs w:val="22"/>
        </w:rPr>
      </w:pPr>
      <w:r w:rsidRPr="007501EB">
        <w:rPr>
          <w:sz w:val="22"/>
          <w:szCs w:val="22"/>
        </w:rPr>
        <w:t>PROCESSO: FASI, TEMPI, MODALITA’, SOGGETTI RESPONSABILI</w:t>
      </w:r>
    </w:p>
    <w:p w:rsidR="00DC16F2" w:rsidRDefault="00DC16F2" w:rsidP="007501EB">
      <w:pPr>
        <w:adjustRightInd/>
        <w:spacing w:before="684"/>
        <w:jc w:val="both"/>
        <w:rPr>
          <w:spacing w:val="2"/>
          <w:sz w:val="22"/>
          <w:szCs w:val="22"/>
        </w:rPr>
      </w:pPr>
      <w:r w:rsidRPr="007501EB">
        <w:rPr>
          <w:sz w:val="22"/>
          <w:szCs w:val="22"/>
        </w:rPr>
        <w:t xml:space="preserve">La valutazione della performance degli incaricati di Posizione Organizzativa avviene mediante </w:t>
      </w:r>
      <w:r w:rsidRPr="007501EB">
        <w:rPr>
          <w:spacing w:val="2"/>
          <w:sz w:val="22"/>
          <w:szCs w:val="22"/>
        </w:rPr>
        <w:t>l’assegnazione a preventivo degli obiettivi</w:t>
      </w:r>
      <w:r>
        <w:rPr>
          <w:spacing w:val="2"/>
          <w:sz w:val="22"/>
          <w:szCs w:val="22"/>
        </w:rPr>
        <w:t>.</w:t>
      </w:r>
    </w:p>
    <w:p w:rsidR="00DC16F2" w:rsidRPr="007501EB" w:rsidRDefault="00DC16F2" w:rsidP="007501EB">
      <w:pPr>
        <w:adjustRightInd/>
        <w:spacing w:before="684"/>
        <w:jc w:val="both"/>
        <w:rPr>
          <w:sz w:val="22"/>
          <w:szCs w:val="22"/>
        </w:rPr>
      </w:pPr>
      <w:r w:rsidRPr="007501EB">
        <w:rPr>
          <w:spacing w:val="2"/>
          <w:sz w:val="22"/>
          <w:szCs w:val="22"/>
        </w:rPr>
        <w:t xml:space="preserve">L'esame degli indicatori di performance organizzativa e </w:t>
      </w:r>
      <w:r w:rsidRPr="007501EB">
        <w:rPr>
          <w:spacing w:val="4"/>
          <w:sz w:val="22"/>
          <w:szCs w:val="22"/>
        </w:rPr>
        <w:t xml:space="preserve">la compilazione a consuntivo della "Scheda standard di valutazione della performance degli </w:t>
      </w:r>
      <w:r w:rsidRPr="007501EB">
        <w:rPr>
          <w:sz w:val="22"/>
          <w:szCs w:val="22"/>
        </w:rPr>
        <w:t>incaricati di P.O." avviene seguendo le fasi ed i tempi sotto indicati.</w:t>
      </w:r>
    </w:p>
    <w:p w:rsidR="00DC16F2" w:rsidRDefault="00DC16F2" w:rsidP="00E14A7F">
      <w:pPr>
        <w:numPr>
          <w:ilvl w:val="0"/>
          <w:numId w:val="3"/>
        </w:numPr>
        <w:adjustRightInd/>
        <w:spacing w:before="288"/>
        <w:jc w:val="both"/>
        <w:rPr>
          <w:sz w:val="22"/>
          <w:szCs w:val="22"/>
        </w:rPr>
      </w:pPr>
      <w:r w:rsidRPr="007501EB">
        <w:rPr>
          <w:sz w:val="22"/>
          <w:szCs w:val="22"/>
        </w:rPr>
        <w:t xml:space="preserve">Gli obiettivi sono definiti d'intesa tra il Sindaco, Segretario Comunale e gli incaricati di P.O </w:t>
      </w:r>
    </w:p>
    <w:p w:rsidR="00DC16F2" w:rsidRPr="007501EB" w:rsidRDefault="00DC16F2" w:rsidP="007501EB">
      <w:pPr>
        <w:numPr>
          <w:ilvl w:val="0"/>
          <w:numId w:val="3"/>
        </w:numPr>
        <w:adjustRightInd/>
        <w:spacing w:before="468"/>
        <w:jc w:val="both"/>
        <w:rPr>
          <w:sz w:val="22"/>
          <w:szCs w:val="22"/>
        </w:rPr>
      </w:pPr>
      <w:r w:rsidRPr="007501EB">
        <w:rPr>
          <w:spacing w:val="3"/>
          <w:sz w:val="22"/>
          <w:szCs w:val="22"/>
        </w:rPr>
        <w:t xml:space="preserve">Di regola, entro </w:t>
      </w:r>
      <w:r>
        <w:rPr>
          <w:spacing w:val="3"/>
          <w:sz w:val="22"/>
          <w:szCs w:val="22"/>
        </w:rPr>
        <w:t>luglio</w:t>
      </w:r>
      <w:r w:rsidRPr="007501EB">
        <w:rPr>
          <w:spacing w:val="3"/>
          <w:sz w:val="22"/>
          <w:szCs w:val="22"/>
        </w:rPr>
        <w:t xml:space="preserve"> il Segretario</w:t>
      </w:r>
      <w:r>
        <w:rPr>
          <w:spacing w:val="3"/>
          <w:sz w:val="22"/>
          <w:szCs w:val="22"/>
        </w:rPr>
        <w:t xml:space="preserve"> riceve dagli </w:t>
      </w:r>
      <w:r w:rsidRPr="007501EB">
        <w:rPr>
          <w:spacing w:val="3"/>
          <w:sz w:val="22"/>
          <w:szCs w:val="22"/>
        </w:rPr>
        <w:t xml:space="preserve"> </w:t>
      </w:r>
      <w:r w:rsidRPr="007501EB">
        <w:rPr>
          <w:sz w:val="22"/>
          <w:szCs w:val="22"/>
        </w:rPr>
        <w:t>incaricati di P.O.</w:t>
      </w:r>
      <w:r>
        <w:rPr>
          <w:sz w:val="22"/>
          <w:szCs w:val="22"/>
        </w:rPr>
        <w:t xml:space="preserve"> le relazioni atte ad  </w:t>
      </w:r>
      <w:r w:rsidRPr="007501EB">
        <w:rPr>
          <w:sz w:val="22"/>
          <w:szCs w:val="22"/>
        </w:rPr>
        <w:t xml:space="preserve"> esprimere le prime considerazioni sul livello di performance degli stessi, dando comunicazione agli interessati delle eventuali criticità o scostamenti negativi rilevati.</w:t>
      </w:r>
    </w:p>
    <w:p w:rsidR="00DC16F2" w:rsidRPr="007501EB" w:rsidRDefault="00DC16F2" w:rsidP="007501EB">
      <w:pPr>
        <w:adjustRightInd/>
        <w:spacing w:before="540"/>
        <w:jc w:val="both"/>
        <w:rPr>
          <w:sz w:val="22"/>
          <w:szCs w:val="22"/>
        </w:rPr>
      </w:pPr>
      <w:r w:rsidRPr="007501EB">
        <w:rPr>
          <w:sz w:val="22"/>
          <w:szCs w:val="22"/>
        </w:rPr>
        <w:t xml:space="preserve">3. II Segretario Comunale convoca </w:t>
      </w:r>
      <w:r>
        <w:rPr>
          <w:sz w:val="22"/>
          <w:szCs w:val="22"/>
        </w:rPr>
        <w:t>l’Organo di Valutazione ( N.V. o Monocratico)</w:t>
      </w:r>
      <w:r w:rsidRPr="007501EB">
        <w:rPr>
          <w:sz w:val="22"/>
          <w:szCs w:val="22"/>
        </w:rPr>
        <w:t xml:space="preserve"> per la compilazione della graduatoria delle valutazioni individuali del personale incaricato di P. 0.</w:t>
      </w:r>
    </w:p>
    <w:p w:rsidR="00DC16F2" w:rsidRDefault="00DC16F2" w:rsidP="007501EB">
      <w:pPr>
        <w:adjustRightInd/>
        <w:spacing w:before="540"/>
        <w:rPr>
          <w:spacing w:val="-1"/>
          <w:sz w:val="22"/>
          <w:szCs w:val="22"/>
        </w:rPr>
      </w:pPr>
      <w:r>
        <w:rPr>
          <w:spacing w:val="3"/>
          <w:sz w:val="22"/>
          <w:szCs w:val="22"/>
        </w:rPr>
        <w:t>4</w:t>
      </w:r>
      <w:r w:rsidRPr="007501EB">
        <w:rPr>
          <w:spacing w:val="3"/>
          <w:sz w:val="22"/>
          <w:szCs w:val="22"/>
        </w:rPr>
        <w:t xml:space="preserve">- La graduatoria delle valutazioni individuali del personale incaricato di P.O. </w:t>
      </w:r>
      <w:r w:rsidR="009078C9" w:rsidRPr="007501EB">
        <w:rPr>
          <w:spacing w:val="3"/>
          <w:sz w:val="22"/>
          <w:szCs w:val="22"/>
        </w:rPr>
        <w:t>è</w:t>
      </w:r>
      <w:bookmarkStart w:id="0" w:name="_GoBack"/>
      <w:bookmarkEnd w:id="0"/>
      <w:r w:rsidRPr="007501EB">
        <w:rPr>
          <w:spacing w:val="3"/>
          <w:sz w:val="22"/>
          <w:szCs w:val="22"/>
        </w:rPr>
        <w:t xml:space="preserve"> trasmessa </w:t>
      </w:r>
      <w:r w:rsidRPr="007501EB">
        <w:rPr>
          <w:color w:val="1A1A1A"/>
          <w:spacing w:val="-1"/>
          <w:sz w:val="22"/>
          <w:szCs w:val="22"/>
        </w:rPr>
        <w:t xml:space="preserve">al </w:t>
      </w:r>
      <w:r w:rsidRPr="007501EB">
        <w:rPr>
          <w:spacing w:val="-1"/>
          <w:sz w:val="22"/>
          <w:szCs w:val="22"/>
        </w:rPr>
        <w:t>Sindaco per gli adempimenti di competenza.</w:t>
      </w:r>
    </w:p>
    <w:p w:rsidR="00DC16F2" w:rsidRDefault="00DC16F2" w:rsidP="007501EB">
      <w:pPr>
        <w:adjustRightInd/>
        <w:spacing w:before="540"/>
        <w:rPr>
          <w:spacing w:val="-1"/>
          <w:sz w:val="22"/>
          <w:szCs w:val="22"/>
        </w:rPr>
      </w:pPr>
    </w:p>
    <w:p w:rsidR="00DC16F2" w:rsidRDefault="00DC16F2" w:rsidP="007501EB">
      <w:pPr>
        <w:adjustRightInd/>
        <w:spacing w:before="540"/>
        <w:rPr>
          <w:spacing w:val="-1"/>
          <w:sz w:val="22"/>
          <w:szCs w:val="22"/>
        </w:rPr>
      </w:pPr>
    </w:p>
    <w:p w:rsidR="00DC16F2" w:rsidRPr="007501EB" w:rsidRDefault="00DC16F2" w:rsidP="007501EB">
      <w:pPr>
        <w:adjustRightInd/>
        <w:spacing w:before="54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              *****************************</w:t>
      </w:r>
    </w:p>
    <w:p w:rsidR="00DC16F2" w:rsidRDefault="00DC16F2"/>
    <w:sectPr w:rsidR="00DC16F2" w:rsidSect="00043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2EAB"/>
    <w:multiLevelType w:val="singleLevel"/>
    <w:tmpl w:val="219EBD0E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cs="Times New Roman"/>
        <w:sz w:val="24"/>
        <w:szCs w:val="24"/>
      </w:rPr>
    </w:lvl>
  </w:abstractNum>
  <w:abstractNum w:abstractNumId="1">
    <w:nsid w:val="068E9FAE"/>
    <w:multiLevelType w:val="singleLevel"/>
    <w:tmpl w:val="6961BF59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/>
        <w:sz w:val="24"/>
      </w:rPr>
    </w:lvl>
  </w:abstractNum>
  <w:abstractNum w:abstractNumId="2">
    <w:nsid w:val="0EBA3767"/>
    <w:multiLevelType w:val="hybridMultilevel"/>
    <w:tmpl w:val="AC0255AC"/>
    <w:lvl w:ilvl="0" w:tplc="A0102562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>
    <w:nsid w:val="4AFB5302"/>
    <w:multiLevelType w:val="hybridMultilevel"/>
    <w:tmpl w:val="88E64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/>
        </w:pPr>
        <w:rPr>
          <w:rFonts w:ascii="Symbol" w:hAnsi="Symbol"/>
          <w:b/>
          <w:spacing w:val="4"/>
          <w:sz w:val="24"/>
          <w:u w:val="single"/>
        </w:rPr>
      </w:lvl>
    </w:lvlOverride>
  </w:num>
  <w:num w:numId="2">
    <w:abstractNumId w:val="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792" w:hanging="360"/>
        </w:pPr>
        <w:rPr>
          <w:rFonts w:ascii="Symbol" w:hAnsi="Symbol"/>
          <w:b/>
          <w:spacing w:val="3"/>
          <w:sz w:val="24"/>
          <w:u w:val="single"/>
        </w:rPr>
      </w:lvl>
    </w:lvlOverride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1EB"/>
    <w:rsid w:val="0004320D"/>
    <w:rsid w:val="00160376"/>
    <w:rsid w:val="00177E3E"/>
    <w:rsid w:val="001E3CCF"/>
    <w:rsid w:val="00205926"/>
    <w:rsid w:val="00360440"/>
    <w:rsid w:val="00472D30"/>
    <w:rsid w:val="005D4E02"/>
    <w:rsid w:val="005E3B74"/>
    <w:rsid w:val="005E7F31"/>
    <w:rsid w:val="006A02B5"/>
    <w:rsid w:val="007501EB"/>
    <w:rsid w:val="009078C9"/>
    <w:rsid w:val="00912367"/>
    <w:rsid w:val="00946376"/>
    <w:rsid w:val="00AF0CDA"/>
    <w:rsid w:val="00B1746E"/>
    <w:rsid w:val="00D63509"/>
    <w:rsid w:val="00DC16F2"/>
    <w:rsid w:val="00DF4DFC"/>
    <w:rsid w:val="00E14A7F"/>
    <w:rsid w:val="00E635F6"/>
    <w:rsid w:val="00F23CF2"/>
    <w:rsid w:val="00F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1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05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728</Words>
  <Characters>4082</Characters>
  <Application>Microsoft Office Word</Application>
  <DocSecurity>0</DocSecurity>
  <Lines>92</Lines>
  <Paragraphs>48</Paragraphs>
  <ScaleCrop>false</ScaleCrop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STANDARD DI VALUTAZIONE DELLE POSIZIONI ORGANIZZATIVE (P</dc:title>
  <dc:subject/>
  <dc:creator>Susanna Valacco</dc:creator>
  <cp:keywords/>
  <dc:description/>
  <cp:lastModifiedBy>Susanna Valacco</cp:lastModifiedBy>
  <cp:revision>4</cp:revision>
  <dcterms:created xsi:type="dcterms:W3CDTF">2018-02-15T13:14:00Z</dcterms:created>
  <dcterms:modified xsi:type="dcterms:W3CDTF">2019-01-23T08:36:00Z</dcterms:modified>
</cp:coreProperties>
</file>